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DC7BAD" w:rsidRDefault="00411BD2" w:rsidP="00411BD2">
      <w:pPr>
        <w:spacing w:after="0" w:line="240" w:lineRule="auto"/>
        <w:ind w:left="6120"/>
        <w:jc w:val="right"/>
        <w:rPr>
          <w:rFonts w:ascii="Times New Roman" w:eastAsia="Times New Roman" w:hAnsi="Times New Roman" w:cs="Times New Roman"/>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tabs>
          <w:tab w:val="left" w:pos="708"/>
        </w:tabs>
        <w:suppressAutoHyphens/>
        <w:ind w:firstLine="400"/>
        <w:jc w:val="right"/>
        <w:rPr>
          <w:rFonts w:ascii="Times New Roman" w:eastAsia="Times New Roman" w:hAnsi="Times New Roman" w:cs="Times New Roman"/>
          <w:color w:val="000000" w:themeColor="text1"/>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02019A">
        <w:rPr>
          <w:rFonts w:ascii="Times New Roman" w:eastAsia="Times New Roman" w:hAnsi="Times New Roman" w:cs="Times New Roman"/>
          <w:b/>
          <w:color w:val="000000" w:themeColor="text1"/>
          <w:sz w:val="24"/>
          <w:szCs w:val="24"/>
          <w:u w:val="single"/>
          <w:lang w:eastAsia="ru-RU"/>
        </w:rPr>
        <w:t>____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02019A">
        <w:rPr>
          <w:rFonts w:ascii="Times New Roman" w:eastAsia="Times New Roman" w:hAnsi="Times New Roman" w:cs="Times New Roman"/>
          <w:b/>
          <w:color w:val="000000" w:themeColor="text1"/>
          <w:sz w:val="24"/>
          <w:szCs w:val="24"/>
          <w:u w:val="single"/>
          <w:lang w:eastAsia="ru-RU"/>
        </w:rPr>
        <w:t>12</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02019A">
        <w:rPr>
          <w:rFonts w:ascii="Times New Roman" w:eastAsia="Times New Roman" w:hAnsi="Times New Roman" w:cs="Times New Roman"/>
          <w:b/>
          <w:color w:val="000000" w:themeColor="text1"/>
          <w:sz w:val="24"/>
          <w:szCs w:val="24"/>
          <w:u w:val="single"/>
          <w:lang w:eastAsia="ru-RU"/>
        </w:rPr>
        <w:t>февраля</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201</w:t>
      </w:r>
      <w:r w:rsidR="0002019A">
        <w:rPr>
          <w:rFonts w:ascii="Times New Roman" w:eastAsia="Times New Roman" w:hAnsi="Times New Roman" w:cs="Times New Roman"/>
          <w:b/>
          <w:color w:val="000000" w:themeColor="text1"/>
          <w:sz w:val="24"/>
          <w:szCs w:val="24"/>
          <w:lang w:eastAsia="ru-RU"/>
        </w:rPr>
        <w:t>9</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B65B4"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w:t>
      </w:r>
      <w:r w:rsidR="0002019A" w:rsidRPr="0002019A">
        <w:rPr>
          <w:rFonts w:ascii="Times New Roman" w:eastAsia="Times New Roman" w:hAnsi="Times New Roman" w:cs="Times New Roman"/>
          <w:b/>
          <w:color w:val="000000" w:themeColor="text1"/>
          <w:sz w:val="24"/>
          <w:szCs w:val="24"/>
          <w:lang w:eastAsia="ru-RU"/>
        </w:rPr>
        <w:t>Тест-полосы для мочевого анализатора</w:t>
      </w:r>
      <w:r w:rsidR="00057F6F">
        <w:rPr>
          <w:rFonts w:ascii="Times New Roman" w:eastAsia="Times New Roman" w:hAnsi="Times New Roman" w:cs="Times New Roman"/>
          <w:b/>
          <w:color w:val="000000" w:themeColor="text1"/>
          <w:sz w:val="24"/>
          <w:szCs w:val="24"/>
          <w:lang w:eastAsia="ru-RU"/>
        </w:rPr>
        <w:t xml:space="preserve"> </w:t>
      </w:r>
      <w:r w:rsidR="00057F6F" w:rsidRPr="00057F6F">
        <w:rPr>
          <w:rFonts w:ascii="Times New Roman" w:eastAsia="Times New Roman" w:hAnsi="Times New Roman" w:cs="Times New Roman"/>
          <w:b/>
          <w:color w:val="000000" w:themeColor="text1"/>
          <w:sz w:val="24"/>
          <w:szCs w:val="24"/>
          <w:lang w:eastAsia="ru-RU"/>
        </w:rPr>
        <w:t>AUTION STICKS</w:t>
      </w:r>
      <w:r w:rsidR="00411BD2" w:rsidRPr="00057F6F">
        <w:rPr>
          <w:rFonts w:ascii="Times New Roman" w:eastAsia="Times New Roman" w:hAnsi="Times New Roman" w:cs="Times New Roman"/>
          <w:b/>
          <w:color w:val="000000" w:themeColor="text1"/>
          <w:sz w:val="24"/>
          <w:szCs w:val="24"/>
          <w:lang w:eastAsia="ru-RU"/>
        </w:rPr>
        <w:t>»</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w:t>
      </w:r>
      <w:r w:rsidR="00DC7BAD">
        <w:rPr>
          <w:rFonts w:ascii="Times New Roman" w:eastAsia="Times New Roman" w:hAnsi="Times New Roman" w:cs="Times New Roman"/>
          <w:sz w:val="24"/>
          <w:szCs w:val="24"/>
          <w:lang w:eastAsia="zh-CN"/>
        </w:rPr>
        <w:br/>
      </w:r>
      <w:r w:rsidRPr="007C258B">
        <w:rPr>
          <w:rFonts w:ascii="Times New Roman" w:eastAsia="Times New Roman" w:hAnsi="Times New Roman" w:cs="Times New Roman"/>
          <w:sz w:val="24"/>
          <w:szCs w:val="24"/>
          <w:lang w:eastAsia="zh-CN"/>
        </w:rPr>
        <w:t xml:space="preserve">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 xml:space="preserve">«Об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00411BD2" w:rsidRPr="00522EE2">
        <w:rPr>
          <w:b/>
          <w:color w:val="000000" w:themeColor="text1"/>
        </w:rPr>
        <w:t>медицинской помощи и медицинской помощи в системе обязательного социального медицинского страхования»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057F6F" w:rsidRPr="00057F6F">
        <w:rPr>
          <w:b/>
          <w:color w:val="000000" w:themeColor="text1"/>
        </w:rPr>
        <w:t>Тест-полосы для мочевого анализатора AUTION STICKS</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1F048B" w:rsidRPr="00522EE2">
        <w:rPr>
          <w:rFonts w:ascii="Times New Roman" w:eastAsia="Times New Roman" w:hAnsi="Times New Roman" w:cs="Times New Roman"/>
          <w:b/>
          <w:color w:val="000000" w:themeColor="text1"/>
          <w:sz w:val="24"/>
          <w:szCs w:val="24"/>
          <w:lang w:eastAsia="ru-RU"/>
        </w:rPr>
        <w:t>«</w:t>
      </w:r>
      <w:r w:rsidR="0002019A" w:rsidRPr="0002019A">
        <w:rPr>
          <w:rFonts w:ascii="Times New Roman" w:eastAsia="Times New Roman" w:hAnsi="Times New Roman" w:cs="Times New Roman"/>
          <w:b/>
          <w:color w:val="000000" w:themeColor="text1"/>
          <w:sz w:val="24"/>
          <w:szCs w:val="24"/>
          <w:lang w:eastAsia="ru-RU"/>
        </w:rPr>
        <w:t>Тест-полосы для мочевого анализатора</w:t>
      </w:r>
      <w:r w:rsidR="00057F6F">
        <w:rPr>
          <w:rFonts w:ascii="Times New Roman" w:eastAsia="Times New Roman" w:hAnsi="Times New Roman" w:cs="Times New Roman"/>
          <w:b/>
          <w:color w:val="000000" w:themeColor="text1"/>
          <w:sz w:val="24"/>
          <w:szCs w:val="24"/>
          <w:lang w:eastAsia="ru-RU"/>
        </w:rPr>
        <w:t xml:space="preserve"> </w:t>
      </w:r>
      <w:r w:rsidR="00057F6F" w:rsidRPr="00057F6F">
        <w:rPr>
          <w:rFonts w:ascii="Times New Roman" w:eastAsia="Times New Roman" w:hAnsi="Times New Roman" w:cs="Times New Roman"/>
          <w:b/>
          <w:color w:val="000000" w:themeColor="text1"/>
          <w:sz w:val="24"/>
          <w:szCs w:val="24"/>
          <w:lang w:eastAsia="ru-RU"/>
        </w:rPr>
        <w:t>AUTION STICKS</w:t>
      </w:r>
      <w:r w:rsidR="001F048B" w:rsidRPr="00522EE2">
        <w:rPr>
          <w:rFonts w:ascii="Times New Roman" w:eastAsia="Times New Roman" w:hAnsi="Times New Roman" w:cs="Times New Roman"/>
          <w:b/>
          <w:color w:val="000000" w:themeColor="text1"/>
          <w:sz w:val="24"/>
          <w:szCs w:val="24"/>
          <w:lang w:eastAsia="ru-RU"/>
        </w:rPr>
        <w:t>»</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 xml:space="preserve">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w:t>
      </w:r>
      <w:r w:rsidRPr="00D21D1B">
        <w:rPr>
          <w:rFonts w:ascii="Times New Roman" w:eastAsia="Times New Roman" w:hAnsi="Times New Roman" w:cs="Times New Roman"/>
          <w:color w:val="000000"/>
          <w:sz w:val="24"/>
          <w:szCs w:val="24"/>
          <w:lang w:eastAsia="ru-RU"/>
        </w:rPr>
        <w:lastRenderedPageBreak/>
        <w:t>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7C258B">
        <w:rPr>
          <w:rFonts w:ascii="Times New Roman" w:eastAsia="Times New Roman" w:hAnsi="Times New Roman" w:cs="Times New Roman"/>
          <w:sz w:val="24"/>
          <w:szCs w:val="24"/>
          <w:lang w:eastAsia="ru-RU"/>
        </w:rPr>
        <w:lastRenderedPageBreak/>
        <w:t>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xml:space="preserve"> Правления Национального Банка Республики </w:t>
      </w:r>
      <w:r w:rsidRPr="007C258B">
        <w:rPr>
          <w:rFonts w:ascii="Times New Roman" w:eastAsia="Times New Roman" w:hAnsi="Times New Roman" w:cs="Times New Roman"/>
          <w:sz w:val="24"/>
          <w:szCs w:val="24"/>
          <w:lang w:eastAsia="ru-RU"/>
        </w:rPr>
        <w:lastRenderedPageBreak/>
        <w:t>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8) сведения о квалификации по форме, </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1F048B" w:rsidRPr="00D96F72" w:rsidRDefault="001F048B" w:rsidP="006244A1">
      <w:pPr>
        <w:spacing w:after="0"/>
        <w:jc w:val="both"/>
        <w:rPr>
          <w:rFonts w:ascii="Times New Roman" w:eastAsia="Times New Roman" w:hAnsi="Times New Roman" w:cs="Times New Roman"/>
          <w:b/>
          <w:sz w:val="24"/>
          <w:szCs w:val="24"/>
          <w:lang w:eastAsia="ru-RU"/>
        </w:rPr>
      </w:pP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lastRenderedPageBreak/>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6F29AF" w:rsidRDefault="006F29AF" w:rsidP="006244A1">
      <w:pPr>
        <w:spacing w:after="0"/>
        <w:ind w:firstLine="400"/>
        <w:jc w:val="both"/>
        <w:rPr>
          <w:rFonts w:ascii="Times New Roman" w:eastAsia="Times New Roman" w:hAnsi="Times New Roman" w:cs="Times New Roman"/>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8B36F3" w:rsidRPr="007C258B">
        <w:rPr>
          <w:rFonts w:ascii="Times New Roman" w:eastAsia="Times New Roman" w:hAnsi="Times New Roman" w:cs="Times New Roman"/>
          <w:sz w:val="24"/>
          <w:szCs w:val="24"/>
          <w:lang w:eastAsia="ru-RU"/>
        </w:rPr>
        <w:lastRenderedPageBreak/>
        <w:t>«Тендер по закупу</w:t>
      </w:r>
      <w:r w:rsidR="00B85BDA" w:rsidRPr="00B85BDA">
        <w:rPr>
          <w:rFonts w:ascii="Times New Roman" w:eastAsia="Times New Roman" w:hAnsi="Times New Roman" w:cs="Times New Roman"/>
          <w:sz w:val="24"/>
          <w:szCs w:val="24"/>
          <w:lang w:eastAsia="ru-RU"/>
        </w:rPr>
        <w:t xml:space="preserve"> </w:t>
      </w:r>
      <w:r w:rsidR="00BC0D1C" w:rsidRPr="00DC00C2">
        <w:rPr>
          <w:rFonts w:ascii="Times New Roman" w:eastAsia="Times New Roman" w:hAnsi="Times New Roman" w:cs="Times New Roman"/>
          <w:b/>
          <w:sz w:val="24"/>
          <w:szCs w:val="24"/>
          <w:lang w:eastAsia="ru-RU"/>
        </w:rPr>
        <w:t>«</w:t>
      </w:r>
      <w:r w:rsidR="008B36F3" w:rsidRPr="00DC00C2">
        <w:rPr>
          <w:rFonts w:ascii="Times New Roman" w:eastAsia="Times New Roman" w:hAnsi="Times New Roman" w:cs="Times New Roman"/>
          <w:b/>
          <w:sz w:val="24"/>
          <w:szCs w:val="24"/>
          <w:lang w:eastAsia="ru-RU"/>
        </w:rPr>
        <w:t xml:space="preserve">Приобретение </w:t>
      </w:r>
      <w:r w:rsidR="00BC0D1C" w:rsidRPr="00DC00C2">
        <w:rPr>
          <w:rFonts w:ascii="Times New Roman" w:eastAsia="Times New Roman" w:hAnsi="Times New Roman" w:cs="Times New Roman"/>
          <w:b/>
          <w:sz w:val="24"/>
          <w:szCs w:val="24"/>
          <w:lang w:eastAsia="ru-RU"/>
        </w:rPr>
        <w:t xml:space="preserve"> реагентов по скринингу новорожденных и беременных для лаборатории медико-генетической службы» </w:t>
      </w:r>
      <w:r w:rsidR="008B36F3" w:rsidRPr="00DC00C2">
        <w:rPr>
          <w:rFonts w:ascii="Times New Roman" w:eastAsia="Times New Roman" w:hAnsi="Times New Roman" w:cs="Times New Roman"/>
          <w:b/>
          <w:sz w:val="24"/>
          <w:szCs w:val="24"/>
          <w:lang w:eastAsia="ru-RU"/>
        </w:rPr>
        <w:t xml:space="preserve"> и «Не вскрывать до 1</w:t>
      </w:r>
      <w:r w:rsidR="00BC0D1C" w:rsidRPr="00DC00C2">
        <w:rPr>
          <w:rFonts w:ascii="Times New Roman" w:eastAsia="Times New Roman" w:hAnsi="Times New Roman" w:cs="Times New Roman"/>
          <w:b/>
          <w:sz w:val="24"/>
          <w:szCs w:val="24"/>
          <w:lang w:eastAsia="ru-RU"/>
        </w:rPr>
        <w:t>5</w:t>
      </w:r>
      <w:r w:rsidR="008B36F3" w:rsidRPr="00DC00C2">
        <w:rPr>
          <w:rFonts w:ascii="Times New Roman" w:eastAsia="Times New Roman" w:hAnsi="Times New Roman" w:cs="Times New Roman"/>
          <w:b/>
          <w:sz w:val="24"/>
          <w:szCs w:val="24"/>
          <w:lang w:eastAsia="ru-RU"/>
        </w:rPr>
        <w:t xml:space="preserve"> часов 00 мин. </w:t>
      </w:r>
      <w:r w:rsidR="0002019A">
        <w:rPr>
          <w:rFonts w:ascii="Times New Roman" w:eastAsia="Times New Roman" w:hAnsi="Times New Roman" w:cs="Times New Roman"/>
          <w:b/>
          <w:sz w:val="24"/>
          <w:szCs w:val="24"/>
          <w:lang w:eastAsia="ru-RU"/>
        </w:rPr>
        <w:br/>
        <w:t>05</w:t>
      </w:r>
      <w:r w:rsidR="00C01548" w:rsidRPr="00DC00C2">
        <w:rPr>
          <w:rFonts w:ascii="Times New Roman" w:eastAsia="Times New Roman" w:hAnsi="Times New Roman" w:cs="Times New Roman"/>
          <w:b/>
          <w:sz w:val="24"/>
          <w:szCs w:val="24"/>
          <w:lang w:eastAsia="ru-RU"/>
        </w:rPr>
        <w:t xml:space="preserve"> </w:t>
      </w:r>
      <w:r w:rsidR="0002019A">
        <w:rPr>
          <w:rFonts w:ascii="Times New Roman" w:eastAsia="Times New Roman" w:hAnsi="Times New Roman" w:cs="Times New Roman"/>
          <w:b/>
          <w:sz w:val="24"/>
          <w:szCs w:val="24"/>
          <w:lang w:eastAsia="ru-RU"/>
        </w:rPr>
        <w:t>марта</w:t>
      </w:r>
      <w:r w:rsidR="00C01548" w:rsidRPr="00DC00C2">
        <w:rPr>
          <w:rFonts w:ascii="Times New Roman" w:eastAsia="Times New Roman" w:hAnsi="Times New Roman" w:cs="Times New Roman"/>
          <w:b/>
          <w:sz w:val="24"/>
          <w:szCs w:val="24"/>
          <w:lang w:eastAsia="ru-RU"/>
        </w:rPr>
        <w:t xml:space="preserve"> 2019</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 xml:space="preserve">Окончательный срок предоставления тендерных заявок- до 13:00 часов местного времени </w:t>
      </w:r>
      <w:r w:rsidR="0002019A">
        <w:rPr>
          <w:rFonts w:ascii="Times New Roman" w:eastAsia="Times New Roman" w:hAnsi="Times New Roman" w:cs="Times New Roman"/>
          <w:b/>
          <w:color w:val="FF0000"/>
          <w:sz w:val="24"/>
          <w:szCs w:val="24"/>
          <w:u w:val="single"/>
          <w:lang w:eastAsia="ru-RU"/>
        </w:rPr>
        <w:t>05</w:t>
      </w:r>
      <w:r w:rsidR="00860FEF" w:rsidRPr="00DC00C2">
        <w:rPr>
          <w:rFonts w:ascii="Times New Roman" w:eastAsia="Times New Roman" w:hAnsi="Times New Roman" w:cs="Times New Roman"/>
          <w:b/>
          <w:color w:val="FF0000"/>
          <w:sz w:val="24"/>
          <w:szCs w:val="24"/>
          <w:u w:val="single"/>
          <w:lang w:eastAsia="ru-RU"/>
        </w:rPr>
        <w:t xml:space="preserve"> </w:t>
      </w:r>
      <w:r w:rsidR="0002019A">
        <w:rPr>
          <w:rFonts w:ascii="Times New Roman" w:eastAsia="Times New Roman" w:hAnsi="Times New Roman" w:cs="Times New Roman"/>
          <w:b/>
          <w:color w:val="FF0000"/>
          <w:sz w:val="24"/>
          <w:szCs w:val="24"/>
          <w:u w:val="single"/>
          <w:lang w:eastAsia="ru-RU"/>
        </w:rPr>
        <w:t>марта</w:t>
      </w:r>
      <w:r w:rsidR="00860FEF" w:rsidRPr="00DC00C2">
        <w:rPr>
          <w:rFonts w:ascii="Times New Roman" w:eastAsia="Times New Roman" w:hAnsi="Times New Roman" w:cs="Times New Roman"/>
          <w:b/>
          <w:color w:val="FF0000"/>
          <w:sz w:val="24"/>
          <w:szCs w:val="24"/>
          <w:u w:val="single"/>
          <w:lang w:eastAsia="ru-RU"/>
        </w:rPr>
        <w:t xml:space="preserve"> 2019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D21D1B" w:rsidRPr="00DC00C2">
        <w:rPr>
          <w:rFonts w:ascii="Times New Roman" w:eastAsia="Times New Roman" w:hAnsi="Times New Roman" w:cs="Times New Roman"/>
          <w:color w:val="FF0000"/>
          <w:sz w:val="24"/>
          <w:szCs w:val="24"/>
          <w:lang w:eastAsia="ru-RU"/>
        </w:rPr>
        <w:t xml:space="preserve">15 часов 00 мин </w:t>
      </w:r>
      <w:r w:rsidR="0002019A">
        <w:rPr>
          <w:rFonts w:ascii="Times New Roman" w:eastAsia="Times New Roman" w:hAnsi="Times New Roman" w:cs="Times New Roman"/>
          <w:color w:val="FF0000"/>
          <w:sz w:val="24"/>
          <w:szCs w:val="24"/>
          <w:lang w:eastAsia="ru-RU"/>
        </w:rPr>
        <w:br/>
        <w:t>05</w:t>
      </w:r>
      <w:r w:rsidRPr="00DC00C2">
        <w:rPr>
          <w:rFonts w:ascii="Times New Roman" w:eastAsia="Times New Roman" w:hAnsi="Times New Roman" w:cs="Times New Roman"/>
          <w:color w:val="FF0000"/>
          <w:sz w:val="24"/>
          <w:szCs w:val="24"/>
          <w:lang w:eastAsia="ru-RU"/>
        </w:rPr>
        <w:t xml:space="preserve"> </w:t>
      </w:r>
      <w:r w:rsidR="0002019A">
        <w:rPr>
          <w:rFonts w:ascii="Times New Roman" w:eastAsia="Times New Roman" w:hAnsi="Times New Roman" w:cs="Times New Roman"/>
          <w:color w:val="FF0000"/>
          <w:sz w:val="24"/>
          <w:szCs w:val="24"/>
          <w:lang w:eastAsia="ru-RU"/>
        </w:rPr>
        <w:t>марта</w:t>
      </w:r>
      <w:r w:rsidRPr="00DC00C2">
        <w:rPr>
          <w:rFonts w:ascii="Times New Roman" w:eastAsia="Times New Roman" w:hAnsi="Times New Roman" w:cs="Times New Roman"/>
          <w:color w:val="FF0000"/>
          <w:sz w:val="24"/>
          <w:szCs w:val="24"/>
          <w:lang w:eastAsia="ru-RU"/>
        </w:rPr>
        <w:t xml:space="preserve"> 2019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4D1020" w:rsidRPr="00107CE3" w:rsidRDefault="004D1020"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 xml:space="preserve">22) представления потенциальным поставщиком </w:t>
      </w:r>
      <w:r w:rsidR="00D40E01">
        <w:rPr>
          <w:rFonts w:ascii="Times New Roman" w:eastAsia="Times New Roman" w:hAnsi="Times New Roman" w:cs="Times New Roman"/>
          <w:color w:val="000000"/>
          <w:sz w:val="24"/>
          <w:szCs w:val="24"/>
          <w:lang w:eastAsia="ru-RU"/>
        </w:rPr>
        <w:t>цены товара</w:t>
      </w:r>
      <w:r w:rsidRPr="00C01548">
        <w:rPr>
          <w:rFonts w:ascii="Times New Roman" w:eastAsia="Times New Roman" w:hAnsi="Times New Roman" w:cs="Times New Roman"/>
          <w:color w:val="000000"/>
          <w:sz w:val="24"/>
          <w:szCs w:val="24"/>
          <w:lang w:eastAsia="ru-RU"/>
        </w:rPr>
        <w:t>,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lastRenderedPageBreak/>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E1618D" w:rsidRDefault="00E1618D" w:rsidP="004570AD">
      <w:pPr>
        <w:shd w:val="clear" w:color="auto" w:fill="FFFFFF"/>
        <w:spacing w:after="0"/>
        <w:textAlignment w:val="baseline"/>
        <w:rPr>
          <w:rFonts w:ascii="Times New Roman" w:eastAsia="Times New Roman" w:hAnsi="Times New Roman" w:cs="Times New Roman"/>
          <w:b/>
          <w:sz w:val="24"/>
          <w:szCs w:val="24"/>
          <w:lang w:eastAsia="ru-RU"/>
        </w:rPr>
      </w:pP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 xml:space="preserve">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w:t>
      </w:r>
      <w:r w:rsidRPr="008F5D49">
        <w:rPr>
          <w:rFonts w:ascii="Times New Roman" w:eastAsia="Times New Roman" w:hAnsi="Times New Roman" w:cs="Times New Roman"/>
          <w:sz w:val="24"/>
          <w:szCs w:val="24"/>
          <w:lang w:eastAsia="ru-RU"/>
        </w:rPr>
        <w:lastRenderedPageBreak/>
        <w:t>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6626E">
          <w:pgSz w:w="11906" w:h="16838"/>
          <w:pgMar w:top="1560" w:right="850" w:bottom="284"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lastRenderedPageBreak/>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5010"/>
      </w:tblGrid>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9A0945">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 xml:space="preserve">Приобретение </w:t>
            </w:r>
            <w:r w:rsidR="009A0945" w:rsidRPr="009A0945">
              <w:rPr>
                <w:rFonts w:ascii="Times New Roman" w:eastAsia="Times New Roman" w:hAnsi="Times New Roman" w:cs="Times New Roman"/>
                <w:b/>
                <w:bCs/>
                <w:color w:val="000000"/>
                <w:sz w:val="24"/>
                <w:szCs w:val="24"/>
                <w:lang w:eastAsia="zh-CN"/>
              </w:rPr>
              <w:t>Тест-полос для мочевого анализатора</w:t>
            </w:r>
            <w:r w:rsidR="00057F6F">
              <w:rPr>
                <w:rFonts w:ascii="Times New Roman" w:eastAsia="Times New Roman" w:hAnsi="Times New Roman" w:cs="Times New Roman"/>
                <w:b/>
                <w:bCs/>
                <w:color w:val="000000"/>
                <w:sz w:val="24"/>
                <w:szCs w:val="24"/>
                <w:lang w:eastAsia="zh-CN"/>
              </w:rPr>
              <w:t xml:space="preserve"> </w:t>
            </w:r>
            <w:r w:rsidR="00057F6F" w:rsidRPr="00057F6F">
              <w:rPr>
                <w:rFonts w:ascii="Times New Roman" w:eastAsia="Times New Roman" w:hAnsi="Times New Roman" w:cs="Times New Roman"/>
                <w:b/>
                <w:bCs/>
                <w:color w:val="000000"/>
                <w:sz w:val="24"/>
                <w:szCs w:val="24"/>
                <w:lang w:eastAsia="zh-CN"/>
              </w:rPr>
              <w:t>AUTION STICKS</w:t>
            </w:r>
            <w:r w:rsidRPr="00F6116F">
              <w:rPr>
                <w:rFonts w:ascii="Times New Roman" w:eastAsia="Times New Roman" w:hAnsi="Times New Roman" w:cs="Times New Roman"/>
                <w:b/>
                <w:lang w:eastAsia="zh-CN"/>
              </w:rPr>
              <w:t>»</w:t>
            </w:r>
          </w:p>
        </w:tc>
      </w:tr>
    </w:tbl>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 </w:t>
      </w:r>
    </w:p>
    <w:tbl>
      <w:tblPr>
        <w:tblW w:w="29450" w:type="dxa"/>
        <w:tblInd w:w="-953"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426"/>
        <w:gridCol w:w="1260"/>
        <w:gridCol w:w="2001"/>
        <w:gridCol w:w="992"/>
        <w:gridCol w:w="713"/>
        <w:gridCol w:w="1980"/>
        <w:gridCol w:w="1418"/>
        <w:gridCol w:w="1275"/>
        <w:gridCol w:w="3402"/>
        <w:gridCol w:w="1985"/>
        <w:gridCol w:w="40"/>
        <w:gridCol w:w="1990"/>
        <w:gridCol w:w="1990"/>
        <w:gridCol w:w="1990"/>
        <w:gridCol w:w="1990"/>
        <w:gridCol w:w="1990"/>
        <w:gridCol w:w="1990"/>
        <w:gridCol w:w="2018"/>
      </w:tblGrid>
      <w:tr w:rsidR="00F6116F" w:rsidRPr="00F6116F" w:rsidTr="002863C7">
        <w:trPr>
          <w:gridAfter w:val="8"/>
          <w:wAfter w:w="13998" w:type="dxa"/>
          <w:cantSplit/>
          <w:trHeight w:val="115"/>
        </w:trPr>
        <w:tc>
          <w:tcPr>
            <w:tcW w:w="42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лота</w:t>
            </w:r>
          </w:p>
        </w:tc>
        <w:tc>
          <w:tcPr>
            <w:tcW w:w="1260" w:type="dxa"/>
            <w:tcBorders>
              <w:top w:val="single" w:sz="8" w:space="0" w:color="000000"/>
              <w:left w:val="single" w:sz="8"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Наименование заказчика</w:t>
            </w:r>
          </w:p>
        </w:tc>
        <w:tc>
          <w:tcPr>
            <w:tcW w:w="2001"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Наименование товара</w:t>
            </w:r>
          </w:p>
        </w:tc>
        <w:tc>
          <w:tcPr>
            <w:tcW w:w="99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Единица измерения</w:t>
            </w:r>
          </w:p>
        </w:tc>
        <w:tc>
          <w:tcPr>
            <w:tcW w:w="713"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Количество</w:t>
            </w:r>
          </w:p>
        </w:tc>
        <w:tc>
          <w:tcPr>
            <w:tcW w:w="1980"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Условия поставки (в соответствии с ИНКОТЕРМС 2000)</w:t>
            </w:r>
          </w:p>
        </w:tc>
        <w:tc>
          <w:tcPr>
            <w:tcW w:w="141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xml:space="preserve">Срок поставки </w:t>
            </w:r>
          </w:p>
          <w:p w:rsidR="00F6116F" w:rsidRPr="00F6116F" w:rsidRDefault="00F6116F" w:rsidP="00F6116F">
            <w:pPr>
              <w:tabs>
                <w:tab w:val="left" w:pos="708"/>
              </w:tabs>
              <w:suppressAutoHyphens/>
              <w:spacing w:line="115" w:lineRule="atLeast"/>
              <w:jc w:val="center"/>
              <w:rPr>
                <w:rFonts w:ascii="Times New Roman" w:eastAsia="Times New Roman" w:hAnsi="Times New Roman" w:cs="Times New Roman"/>
                <w:sz w:val="24"/>
                <w:szCs w:val="24"/>
                <w:lang w:eastAsia="zh-CN"/>
              </w:rPr>
            </w:pPr>
          </w:p>
        </w:tc>
        <w:tc>
          <w:tcPr>
            <w:tcW w:w="127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Место поставки товара</w:t>
            </w:r>
          </w:p>
        </w:tc>
        <w:tc>
          <w:tcPr>
            <w:tcW w:w="340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 xml:space="preserve">Размер авансового платежа, % </w:t>
            </w:r>
          </w:p>
        </w:tc>
        <w:tc>
          <w:tcPr>
            <w:tcW w:w="1985"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863C7">
        <w:trPr>
          <w:gridAfter w:val="8"/>
          <w:wAfter w:w="13998" w:type="dxa"/>
          <w:cantSplit/>
          <w:trHeight w:val="65"/>
        </w:trPr>
        <w:tc>
          <w:tcPr>
            <w:tcW w:w="42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w:t>
            </w:r>
          </w:p>
        </w:tc>
        <w:tc>
          <w:tcPr>
            <w:tcW w:w="126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2</w:t>
            </w:r>
          </w:p>
        </w:tc>
        <w:tc>
          <w:tcPr>
            <w:tcW w:w="2001"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3</w:t>
            </w:r>
          </w:p>
        </w:tc>
        <w:tc>
          <w:tcPr>
            <w:tcW w:w="99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4</w:t>
            </w:r>
          </w:p>
        </w:tc>
        <w:tc>
          <w:tcPr>
            <w:tcW w:w="713"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5</w:t>
            </w:r>
          </w:p>
        </w:tc>
        <w:tc>
          <w:tcPr>
            <w:tcW w:w="1980"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6</w:t>
            </w:r>
          </w:p>
        </w:tc>
        <w:tc>
          <w:tcPr>
            <w:tcW w:w="141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7</w:t>
            </w:r>
          </w:p>
        </w:tc>
        <w:tc>
          <w:tcPr>
            <w:tcW w:w="127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8</w:t>
            </w:r>
          </w:p>
        </w:tc>
        <w:tc>
          <w:tcPr>
            <w:tcW w:w="340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9</w:t>
            </w:r>
          </w:p>
        </w:tc>
        <w:tc>
          <w:tcPr>
            <w:tcW w:w="1985"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color w:val="000000"/>
                <w:lang w:eastAsia="zh-CN"/>
              </w:rPr>
              <w:t>10</w:t>
            </w:r>
          </w:p>
        </w:tc>
      </w:tr>
      <w:tr w:rsidR="001A050E" w:rsidRPr="00F6116F" w:rsidTr="002863C7">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1</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F6116F" w:rsidRDefault="001A050E" w:rsidP="00682397">
            <w:pPr>
              <w:tabs>
                <w:tab w:val="left" w:pos="708"/>
              </w:tabs>
              <w:suppressAutoHyphens/>
              <w:snapToGrid w:val="0"/>
              <w:rPr>
                <w:rFonts w:ascii="Times New Roman" w:eastAsia="Times New Roman" w:hAnsi="Times New Roman" w:cs="Times New Roman"/>
                <w:sz w:val="24"/>
                <w:szCs w:val="24"/>
                <w:lang w:eastAsia="zh-CN"/>
              </w:rPr>
            </w:pPr>
            <w:r w:rsidRPr="00F6116F">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C4CBA" w:rsidRDefault="009A0945" w:rsidP="00B44024">
            <w:pPr>
              <w:pStyle w:val="a7"/>
              <w:rPr>
                <w:sz w:val="26"/>
                <w:szCs w:val="26"/>
              </w:rPr>
            </w:pPr>
            <w:r w:rsidRPr="007B4802">
              <w:t>Тест-полоски Аутион Стикс - 10 ЕА - 100 полосок/упак. AUTION STICKS</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008C3" w:rsidRDefault="009A0945" w:rsidP="00546E36">
            <w:pPr>
              <w:jc w:val="center"/>
              <w:rPr>
                <w:snapToGrid w:val="0"/>
              </w:rPr>
            </w:pPr>
            <w:r>
              <w:rPr>
                <w:snapToGrid w:val="0"/>
              </w:rPr>
              <w:t>туб</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7B38DD" w:rsidRDefault="00057F6F" w:rsidP="00546E36">
            <w:pPr>
              <w:pStyle w:val="a7"/>
              <w:jc w:val="center"/>
              <w:rPr>
                <w:sz w:val="26"/>
                <w:szCs w:val="26"/>
              </w:rPr>
            </w:pPr>
            <w:r>
              <w:rPr>
                <w:sz w:val="26"/>
                <w:szCs w:val="26"/>
              </w:rPr>
              <w:t>6</w:t>
            </w:r>
            <w:r w:rsidR="009A0945">
              <w:rPr>
                <w:sz w:val="26"/>
                <w:szCs w:val="26"/>
              </w:rPr>
              <w:t>00</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snapToGrid w:val="0"/>
              <w:jc w:val="center"/>
              <w:rPr>
                <w:rFonts w:ascii="Times New Roman" w:eastAsia="Times New Roman" w:hAnsi="Times New Roman" w:cs="Times New Roman"/>
                <w:lang w:eastAsia="zh-CN"/>
              </w:rPr>
            </w:pPr>
            <w:r w:rsidRPr="00F6116F">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1F3E8B">
            <w:pPr>
              <w:tabs>
                <w:tab w:val="left" w:pos="708"/>
              </w:tabs>
              <w:suppressAutoHyphens/>
              <w:snapToGrid w:val="0"/>
              <w:rPr>
                <w:rFonts w:ascii="Times New Roman" w:eastAsia="Times New Roman" w:hAnsi="Times New Roman" w:cs="Times New Roman"/>
                <w:lang w:eastAsia="zh-CN"/>
              </w:rPr>
            </w:pPr>
            <w: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682397">
            <w:pPr>
              <w:tabs>
                <w:tab w:val="left" w:pos="708"/>
              </w:tabs>
              <w:suppressAutoHyphens/>
              <w:rPr>
                <w:rFonts w:ascii="Times New Roman" w:eastAsia="Times New Roman" w:hAnsi="Times New Roman" w:cs="Times New Roman"/>
                <w:lang w:eastAsia="zh-CN"/>
              </w:rPr>
            </w:pPr>
            <w:r w:rsidRPr="00F6116F">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F6116F" w:rsidRDefault="001A050E"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3</w:t>
            </w:r>
            <w:r w:rsidRPr="00F6116F">
              <w:rPr>
                <w:rFonts w:ascii="Times New Roman" w:eastAsia="Times New Roman" w:hAnsi="Times New Roman" w:cs="Times New Roman"/>
                <w:lang w:eastAsia="zh-CN"/>
              </w:rPr>
              <w:t xml:space="preserve">0 % авансовый платеж, а остальные </w:t>
            </w:r>
            <w:r>
              <w:rPr>
                <w:rFonts w:ascii="Times New Roman" w:eastAsia="Times New Roman" w:hAnsi="Times New Roman" w:cs="Times New Roman"/>
                <w:lang w:eastAsia="zh-CN"/>
              </w:rPr>
              <w:t>7</w:t>
            </w:r>
            <w:r w:rsidRPr="00F6116F">
              <w:rPr>
                <w:rFonts w:ascii="Times New Roman" w:eastAsia="Times New Roman" w:hAnsi="Times New Roman" w:cs="Times New Roman"/>
                <w:lang w:eastAsia="zh-CN"/>
              </w:rPr>
              <w:t xml:space="preserve">0 % по факту поставки товара в полном объеме в тенге </w:t>
            </w:r>
            <w:r w:rsidRPr="00F6116F">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1F0868" w:rsidRDefault="00840228" w:rsidP="0036626E">
            <w:pPr>
              <w:tabs>
                <w:tab w:val="left" w:pos="708"/>
              </w:tabs>
              <w:suppressAutoHyphens/>
              <w:jc w:val="center"/>
              <w:rPr>
                <w:rFonts w:ascii="Times New Roman" w:eastAsia="Times New Roman" w:hAnsi="Times New Roman" w:cs="Times New Roman"/>
                <w:lang w:eastAsia="zh-CN"/>
              </w:rPr>
            </w:pPr>
            <w:r>
              <w:rPr>
                <w:rFonts w:ascii="Times New Roman" w:hAnsi="Times New Roman"/>
                <w:sz w:val="24"/>
                <w:szCs w:val="24"/>
              </w:rPr>
              <w:t>8 460 000</w:t>
            </w:r>
            <w:r w:rsidR="001A050E">
              <w:rPr>
                <w:rFonts w:ascii="Times New Roman" w:hAnsi="Times New Roman"/>
                <w:sz w:val="24"/>
                <w:szCs w:val="24"/>
              </w:rPr>
              <w:t>,00</w:t>
            </w:r>
          </w:p>
        </w:tc>
      </w:tr>
      <w:tr w:rsidR="00F6116F" w:rsidRPr="00F6116F" w:rsidTr="002863C7">
        <w:trPr>
          <w:cantSplit/>
          <w:trHeight w:val="1377"/>
        </w:trPr>
        <w:tc>
          <w:tcPr>
            <w:tcW w:w="13467" w:type="dxa"/>
            <w:gridSpan w:val="9"/>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i/>
                <w:sz w:val="32"/>
                <w:szCs w:val="32"/>
                <w:lang w:eastAsia="zh-CN"/>
              </w:rPr>
              <w:t>Итого:</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F6116F" w:rsidRPr="00F6116F" w:rsidRDefault="00840228" w:rsidP="003050E4">
            <w:pPr>
              <w:tabs>
                <w:tab w:val="left" w:pos="708"/>
              </w:tabs>
              <w:suppressAutoHyphens/>
              <w:jc w:val="center"/>
              <w:rPr>
                <w:rFonts w:ascii="Times New Roman" w:eastAsia="Times New Roman" w:hAnsi="Times New Roman" w:cs="Times New Roman"/>
                <w:sz w:val="24"/>
                <w:szCs w:val="24"/>
                <w:lang w:eastAsia="zh-CN"/>
              </w:rPr>
            </w:pPr>
            <w:r>
              <w:rPr>
                <w:rFonts w:ascii="Times New Roman" w:hAnsi="Times New Roman"/>
                <w:b/>
                <w:sz w:val="24"/>
                <w:szCs w:val="24"/>
                <w:lang w:val="kk-KZ"/>
              </w:rPr>
              <w:t>8 460 000</w:t>
            </w:r>
            <w:r w:rsidR="009A0945">
              <w:rPr>
                <w:rFonts w:ascii="Times New Roman" w:hAnsi="Times New Roman"/>
                <w:b/>
                <w:sz w:val="24"/>
                <w:szCs w:val="24"/>
                <w:lang w:val="kk-KZ"/>
              </w:rPr>
              <w:t>, 00</w:t>
            </w:r>
          </w:p>
        </w:tc>
        <w:tc>
          <w:tcPr>
            <w:tcW w:w="4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1990" w:type="dxa"/>
          </w:tcPr>
          <w:p w:rsidR="00F6116F" w:rsidRPr="00F6116F" w:rsidRDefault="00F6116F" w:rsidP="00F6116F">
            <w:pPr>
              <w:rPr>
                <w:rFonts w:ascii="Calibri" w:eastAsia="Times New Roman" w:hAnsi="Calibri" w:cs="Times New Roman"/>
                <w:lang w:eastAsia="ru-RU"/>
              </w:rPr>
            </w:pPr>
          </w:p>
        </w:tc>
        <w:tc>
          <w:tcPr>
            <w:tcW w:w="2018" w:type="dxa"/>
          </w:tcPr>
          <w:p w:rsidR="00F6116F" w:rsidRPr="00F6116F" w:rsidRDefault="00F6116F" w:rsidP="00F6116F">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8028EA">
          <w:pgSz w:w="16838" w:h="11906" w:orient="landscape"/>
          <w:pgMar w:top="851" w:right="284" w:bottom="851"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lastRenderedPageBreak/>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rPr>
          <w:rFonts w:ascii="Times New Roman" w:eastAsia="Times New Roman" w:hAnsi="Times New Roman" w:cs="Times New Roman"/>
          <w:sz w:val="24"/>
          <w:szCs w:val="24"/>
          <w:lang w:eastAsia="zh-CN"/>
        </w:rPr>
      </w:pPr>
    </w:p>
    <w:p w:rsidR="00BF2695" w:rsidRDefault="007C142C" w:rsidP="007C142C">
      <w:pPr>
        <w:tabs>
          <w:tab w:val="left" w:pos="708"/>
        </w:tabs>
        <w:suppressAutoHyphens/>
        <w:jc w:val="center"/>
        <w:rPr>
          <w:rFonts w:ascii="Times New Roman" w:eastAsia="Times New Roman" w:hAnsi="Times New Roman" w:cs="Times New Roman"/>
          <w:b/>
          <w:sz w:val="24"/>
          <w:szCs w:val="24"/>
          <w:lang w:eastAsia="zh-CN"/>
        </w:rPr>
      </w:pPr>
      <w:r w:rsidRPr="007C142C">
        <w:rPr>
          <w:rFonts w:ascii="Times New Roman" w:eastAsia="Times New Roman" w:hAnsi="Times New Roman" w:cs="Times New Roman"/>
          <w:b/>
          <w:sz w:val="24"/>
          <w:szCs w:val="24"/>
          <w:lang w:eastAsia="zh-CN"/>
        </w:rPr>
        <w:t xml:space="preserve">Техническая спецификация и условия поставки </w:t>
      </w:r>
    </w:p>
    <w:p w:rsidR="00BF2695" w:rsidRDefault="009A0945" w:rsidP="007C142C">
      <w:pPr>
        <w:tabs>
          <w:tab w:val="left" w:pos="708"/>
        </w:tabs>
        <w:suppressAutoHyphens/>
        <w:jc w:val="center"/>
        <w:rPr>
          <w:rFonts w:ascii="Times New Roman" w:eastAsia="Times New Roman" w:hAnsi="Times New Roman" w:cs="Times New Roman"/>
          <w:b/>
          <w:bCs/>
          <w:color w:val="000000"/>
          <w:sz w:val="24"/>
          <w:szCs w:val="24"/>
          <w:lang w:eastAsia="zh-CN"/>
        </w:rPr>
      </w:pPr>
      <w:r w:rsidRPr="009A0945">
        <w:rPr>
          <w:rFonts w:ascii="Times New Roman" w:eastAsia="Times New Roman" w:hAnsi="Times New Roman" w:cs="Times New Roman"/>
          <w:b/>
          <w:bCs/>
          <w:color w:val="000000"/>
          <w:sz w:val="24"/>
          <w:szCs w:val="24"/>
          <w:lang w:eastAsia="zh-CN"/>
        </w:rPr>
        <w:t>Тест-полос для мочевого анализатора</w:t>
      </w:r>
      <w:r w:rsidR="00BF2695">
        <w:rPr>
          <w:rFonts w:ascii="Times New Roman" w:eastAsia="Times New Roman" w:hAnsi="Times New Roman" w:cs="Times New Roman"/>
          <w:b/>
          <w:bCs/>
          <w:color w:val="000000"/>
          <w:sz w:val="24"/>
          <w:szCs w:val="24"/>
          <w:lang w:eastAsia="zh-CN"/>
        </w:rPr>
        <w:t xml:space="preserve"> </w:t>
      </w:r>
      <w:r w:rsidR="00BF2695" w:rsidRPr="00BF2695">
        <w:rPr>
          <w:rFonts w:ascii="Times New Roman" w:eastAsia="Times New Roman" w:hAnsi="Times New Roman" w:cs="Times New Roman"/>
          <w:b/>
          <w:bCs/>
          <w:color w:val="000000"/>
          <w:sz w:val="24"/>
          <w:szCs w:val="24"/>
          <w:lang w:eastAsia="zh-CN"/>
        </w:rPr>
        <w:t>AUTION STICKS</w:t>
      </w:r>
      <w:bookmarkStart w:id="6" w:name="_GoBack"/>
      <w:bookmarkEnd w:id="6"/>
    </w:p>
    <w:p w:rsidR="007C142C" w:rsidRPr="007C142C" w:rsidRDefault="007C142C" w:rsidP="007C142C">
      <w:pPr>
        <w:tabs>
          <w:tab w:val="left" w:pos="708"/>
        </w:tabs>
        <w:suppressAutoHyphens/>
        <w:jc w:val="center"/>
        <w:rPr>
          <w:rFonts w:ascii="Times New Roman" w:eastAsia="Times New Roman" w:hAnsi="Times New Roman" w:cs="Times New Roman"/>
          <w:sz w:val="24"/>
          <w:szCs w:val="24"/>
          <w:lang w:eastAsia="zh-CN"/>
        </w:rPr>
      </w:pPr>
      <w:r w:rsidRPr="007C142C">
        <w:rPr>
          <w:rFonts w:ascii="Times New Roman" w:eastAsia="Times New Roman" w:hAnsi="Times New Roman" w:cs="Times New Roman"/>
          <w:b/>
          <w:sz w:val="24"/>
          <w:szCs w:val="24"/>
          <w:lang w:eastAsia="zh-CN"/>
        </w:rPr>
        <w:t xml:space="preserve"> КГП на ПХВ «Центр матери и ребенка» УЗ ВК областного акимата.</w:t>
      </w:r>
    </w:p>
    <w:p w:rsidR="007C142C" w:rsidRPr="004D54B6" w:rsidRDefault="007C142C" w:rsidP="009A0945">
      <w:pPr>
        <w:jc w:val="both"/>
        <w:rPr>
          <w:rFonts w:ascii="Times New Roman" w:eastAsia="Times New Roman" w:hAnsi="Times New Roman" w:cs="Times New Roman"/>
          <w:sz w:val="24"/>
          <w:szCs w:val="24"/>
          <w:lang w:eastAsia="zh-CN"/>
        </w:rPr>
      </w:pPr>
      <w:r w:rsidRPr="007C142C">
        <w:rPr>
          <w:rFonts w:ascii="Times New Roman" w:eastAsia="Times New Roman" w:hAnsi="Times New Roman" w:cs="Times New Roman"/>
          <w:b/>
          <w:sz w:val="24"/>
          <w:szCs w:val="24"/>
          <w:lang w:eastAsia="ru-RU"/>
        </w:rPr>
        <w:t xml:space="preserve">Техническая спецификация и </w:t>
      </w:r>
      <w:r w:rsidR="006225E6">
        <w:rPr>
          <w:rFonts w:ascii="Times New Roman" w:eastAsia="Times New Roman" w:hAnsi="Times New Roman" w:cs="Times New Roman"/>
          <w:b/>
          <w:sz w:val="24"/>
          <w:szCs w:val="24"/>
          <w:lang w:eastAsia="ru-RU"/>
        </w:rPr>
        <w:t>условия поставки товара по лоту№ 1</w:t>
      </w:r>
      <w:r w:rsidR="006225E6" w:rsidRPr="006225E6">
        <w:rPr>
          <w:rFonts w:ascii="Times New Roman" w:eastAsia="Times New Roman" w:hAnsi="Times New Roman" w:cs="Times New Roman"/>
          <w:b/>
          <w:sz w:val="24"/>
          <w:szCs w:val="24"/>
          <w:lang w:eastAsia="ru-RU"/>
        </w:rPr>
        <w:t xml:space="preserve"> </w:t>
      </w:r>
      <w:r w:rsidR="009A0945" w:rsidRPr="009A0945">
        <w:rPr>
          <w:rFonts w:ascii="Times New Roman" w:eastAsia="Times New Roman" w:hAnsi="Times New Roman" w:cs="Times New Roman"/>
          <w:b/>
          <w:sz w:val="24"/>
          <w:szCs w:val="24"/>
          <w:lang w:eastAsia="ru-RU"/>
        </w:rPr>
        <w:t>Тест-полосы для мочевого анализатора. Фасовка: не менее 100 тест-полосок в одной тубе. Определение не менее 10 аналитов. Время определения результата по всем аналитам не более 60 секунд. Строгая последовательность расположения тестовых зон по каждому определяемому аналиту. Высокая чувствительность при определении каждого аналита. Диапазоны определения: глюкоза 50-1000 мг/дл, белок15-1000 мг/дл, билирубин 0.5 - мг/дл, уробилиноген 2-8 мг/дл, рН5-9, удельный вес1.000 – 1.030, кровь (гемоглобин) 0.03 – 1.0мг/дл, кетоны 5-150 мг/дл, нитриты 0.08 – 0.5 мг/дл, лейкоциты 25-300 Leu/uL</w:t>
      </w:r>
    </w:p>
    <w:p w:rsidR="007C142C" w:rsidRDefault="007C142C" w:rsidP="00F6116F">
      <w:pPr>
        <w:tabs>
          <w:tab w:val="left" w:pos="708"/>
        </w:tabs>
        <w:suppressAutoHyphens/>
        <w:jc w:val="center"/>
        <w:rPr>
          <w:rFonts w:ascii="Times New Roman" w:eastAsia="Times New Roman" w:hAnsi="Times New Roman" w:cs="Times New Roman"/>
          <w:b/>
          <w:sz w:val="24"/>
          <w:szCs w:val="24"/>
          <w:lang w:eastAsia="zh-CN"/>
        </w:rPr>
      </w:pP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Лот №1. </w:t>
      </w:r>
      <w:r w:rsidR="009A0945" w:rsidRPr="009A0945">
        <w:rPr>
          <w:b/>
          <w:sz w:val="26"/>
          <w:szCs w:val="26"/>
        </w:rPr>
        <w:t>Тест-полоски Аутион Стикс - 10 ЕА - 100 полосок/упак. AUTION STICKS</w:t>
      </w:r>
    </w:p>
    <w:p w:rsidR="006B1F87" w:rsidRDefault="009A0945" w:rsidP="006B1F87">
      <w:pPr>
        <w:tabs>
          <w:tab w:val="left" w:pos="708"/>
        </w:tabs>
        <w:suppressAutoHyphens/>
        <w:jc w:val="both"/>
        <w:rPr>
          <w:rFonts w:ascii="Times New Roman" w:eastAsia="Times New Roman" w:hAnsi="Times New Roman" w:cs="Times New Roman"/>
          <w:sz w:val="24"/>
          <w:szCs w:val="24"/>
          <w:lang w:eastAsia="zh-CN"/>
        </w:rPr>
      </w:pPr>
      <w:r w:rsidRPr="009A0945">
        <w:rPr>
          <w:rFonts w:ascii="Times New Roman" w:eastAsia="Times New Roman" w:hAnsi="Times New Roman" w:cs="Times New Roman"/>
          <w:sz w:val="24"/>
          <w:szCs w:val="24"/>
          <w:lang w:eastAsia="zh-CN"/>
        </w:rPr>
        <w:t xml:space="preserve">Тест-полоски </w:t>
      </w:r>
      <w:r w:rsidR="00F6116F" w:rsidRPr="00F6116F">
        <w:rPr>
          <w:rFonts w:ascii="Times New Roman" w:eastAsia="Times New Roman" w:hAnsi="Times New Roman" w:cs="Times New Roman"/>
          <w:sz w:val="24"/>
          <w:szCs w:val="24"/>
          <w:lang w:eastAsia="zh-CN"/>
        </w:rPr>
        <w:t>должн</w:t>
      </w:r>
      <w:r>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быть поставлен</w:t>
      </w:r>
      <w:r>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Поставка товара осуществляется</w:t>
      </w:r>
      <w:r w:rsidR="009858FB">
        <w:rPr>
          <w:rFonts w:ascii="Times New Roman" w:eastAsia="Times New Roman" w:hAnsi="Times New Roman" w:cs="Times New Roman"/>
          <w:sz w:val="24"/>
          <w:szCs w:val="24"/>
          <w:lang w:eastAsia="zh-CN"/>
        </w:rPr>
        <w:t xml:space="preserve"> </w:t>
      </w:r>
      <w:r w:rsidR="00CD5FFB">
        <w:rPr>
          <w:rFonts w:ascii="Times New Roman" w:eastAsia="Times New Roman" w:hAnsi="Times New Roman" w:cs="Times New Roman"/>
          <w:sz w:val="24"/>
          <w:szCs w:val="24"/>
          <w:lang w:eastAsia="zh-CN"/>
        </w:rPr>
        <w:t>согласно графика (приложение № 11</w:t>
      </w:r>
      <w:r w:rsidR="00F6116F"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762F3A" w:rsidRPr="00DA094A" w:rsidRDefault="009A0945" w:rsidP="0066665E">
      <w:pPr>
        <w:tabs>
          <w:tab w:val="left" w:pos="708"/>
        </w:tabs>
        <w:suppressAutoHyphens/>
        <w:jc w:val="both"/>
        <w:rPr>
          <w:rFonts w:ascii="Times New Roman" w:eastAsia="Times New Roman" w:hAnsi="Times New Roman" w:cs="Times New Roman"/>
          <w:sz w:val="24"/>
          <w:szCs w:val="24"/>
          <w:lang w:eastAsia="zh-CN"/>
        </w:rPr>
      </w:pPr>
      <w:r w:rsidRPr="009A0945">
        <w:rPr>
          <w:rFonts w:ascii="Times New Roman" w:hAnsi="Times New Roman"/>
          <w:sz w:val="24"/>
          <w:szCs w:val="24"/>
        </w:rPr>
        <w:t>Тест-полосы для мочевого анализатора. Фасовка: не менее 100 тест-полосок в одной тубе. Определение не менее 10 аналитов. Время определения результата по всем аналитам не более 60 секунд. Строгая последовательность расположения тестовых зон по каждому определяемому аналиту. Высокая чувствительность при определении каждого аналита. Диапазоны определения: глюкоза 50-1000 мг/дл, белок15-1000 мг/дл, билирубин 0.5 - мг/дл, уробилиноген 2-8 мг/дл, рН5-9, удельный вес1.000 – 1.030, кровь (гемоглобин) 0.03 – 1.0мг/дл, кетоны 5-150 мг/дл, нитриты 0.08 – 0.5 мг/дл, лейкоциты 25-300 Leu/uL</w:t>
      </w:r>
    </w:p>
    <w:p w:rsidR="0056144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9A0945" w:rsidRDefault="009A0945" w:rsidP="0066665E">
      <w:pPr>
        <w:tabs>
          <w:tab w:val="left" w:pos="708"/>
        </w:tabs>
        <w:suppressAutoHyphens/>
        <w:jc w:val="both"/>
        <w:rPr>
          <w:rFonts w:ascii="Times New Roman" w:eastAsia="Times New Roman" w:hAnsi="Times New Roman" w:cs="Times New Roman"/>
          <w:sz w:val="24"/>
          <w:szCs w:val="24"/>
          <w:lang w:eastAsia="zh-CN"/>
        </w:rPr>
      </w:pPr>
    </w:p>
    <w:p w:rsidR="009A0945" w:rsidRPr="007A2F0D" w:rsidRDefault="009A0945"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lastRenderedPageBreak/>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lastRenderedPageBreak/>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r w:rsidRPr="00411BD2">
        <w:rPr>
          <w:rFonts w:ascii="Times New Roman" w:eastAsia="Times New Roman" w:hAnsi="Times New Roman" w:cs="Times New Roman"/>
          <w:spacing w:val="2"/>
          <w:sz w:val="24"/>
          <w:szCs w:val="24"/>
        </w:rPr>
        <w:lastRenderedPageBreak/>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lastRenderedPageBreak/>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201_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201_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lastRenderedPageBreak/>
        <w:t>Приложение 3 к договору №______</w:t>
      </w:r>
    </w:p>
    <w:p w:rsidR="004E2A58" w:rsidRDefault="004E2A58" w:rsidP="004E2A58">
      <w:pPr>
        <w:pStyle w:val="a7"/>
        <w:tabs>
          <w:tab w:val="left" w:pos="2980"/>
        </w:tabs>
        <w:jc w:val="right"/>
      </w:pPr>
      <w:r>
        <w:t>от ____________________ 201_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w:t>
      </w:r>
      <w:r w:rsidRPr="00411BD2">
        <w:rPr>
          <w:rFonts w:ascii="Times New Roman" w:eastAsia="Times New Roman" w:hAnsi="Times New Roman" w:cs="Times New Roman"/>
          <w:spacing w:val="2"/>
          <w:sz w:val="24"/>
          <w:szCs w:val="24"/>
        </w:rPr>
        <w:lastRenderedPageBreak/>
        <w:t>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36626E">
          <w:pgSz w:w="11906" w:h="16838"/>
          <w:pgMar w:top="1560"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5210A8" w:rsidRPr="00DB3BDA" w:rsidTr="0036626E">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Default="005210A8" w:rsidP="0036626E">
            <w:pPr>
              <w:pStyle w:val="a7"/>
            </w:pPr>
            <w:r>
              <w:t xml:space="preserve">         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5210A8" w:rsidRDefault="009A0945" w:rsidP="00B44024">
            <w:pPr>
              <w:pStyle w:val="a7"/>
              <w:rPr>
                <w:i/>
                <w:sz w:val="26"/>
                <w:szCs w:val="26"/>
              </w:rPr>
            </w:pPr>
            <w:r w:rsidRPr="009A0945">
              <w:rPr>
                <w:i/>
                <w:sz w:val="26"/>
                <w:szCs w:val="26"/>
              </w:rPr>
              <w:t>Тест-полоски Аутион Стикс - 10 ЕА - 100 полосок/упак. AUTION STICKS</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0A8" w:rsidRPr="007B38DD" w:rsidRDefault="009A0945" w:rsidP="0036626E">
            <w:pPr>
              <w:pStyle w:val="a7"/>
              <w:jc w:val="center"/>
              <w:rPr>
                <w:sz w:val="26"/>
                <w:szCs w:val="26"/>
              </w:rPr>
            </w:pPr>
            <w:r>
              <w:rPr>
                <w:sz w:val="26"/>
                <w:szCs w:val="26"/>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0A8" w:rsidRPr="00DB3BDA" w:rsidRDefault="009A0945" w:rsidP="0036626E">
            <w:pPr>
              <w:pStyle w:val="a8"/>
              <w:jc w:val="center"/>
              <w:rPr>
                <w:rFonts w:ascii="Times New Roman" w:hAnsi="Times New Roman"/>
                <w:sz w:val="24"/>
                <w:szCs w:val="24"/>
              </w:rPr>
            </w:pPr>
            <w:r>
              <w:rPr>
                <w:rFonts w:ascii="Times New Roman" w:hAnsi="Times New Roman"/>
                <w:sz w:val="24"/>
                <w:szCs w:val="24"/>
              </w:rPr>
              <w:t>200</w:t>
            </w:r>
          </w:p>
        </w:tc>
        <w:tc>
          <w:tcPr>
            <w:tcW w:w="1559" w:type="dxa"/>
            <w:tcBorders>
              <w:top w:val="single" w:sz="4" w:space="0" w:color="000000"/>
              <w:left w:val="single" w:sz="4" w:space="0" w:color="000000"/>
              <w:bottom w:val="single" w:sz="4" w:space="0" w:color="000000"/>
              <w:right w:val="single" w:sz="4" w:space="0" w:color="000000"/>
            </w:tcBorders>
          </w:tcPr>
          <w:p w:rsidR="005210A8" w:rsidRPr="00DB3BDA" w:rsidRDefault="009A0945" w:rsidP="0036626E">
            <w:pPr>
              <w:pStyle w:val="a8"/>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5210A8" w:rsidRPr="00DB3BDA" w:rsidRDefault="009A0945" w:rsidP="0036626E">
            <w:pPr>
              <w:pStyle w:val="a8"/>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5210A8" w:rsidRPr="00DB3BDA" w:rsidRDefault="009A0945" w:rsidP="0036626E">
            <w:pPr>
              <w:pStyle w:val="a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5210A8" w:rsidRPr="00DB3BDA" w:rsidRDefault="009A0945" w:rsidP="0036626E">
            <w:pPr>
              <w:pStyle w:val="a8"/>
              <w:jc w:val="center"/>
              <w:rPr>
                <w:rFonts w:ascii="Times New Roman" w:hAnsi="Times New Roman"/>
                <w:sz w:val="24"/>
                <w:szCs w:val="24"/>
              </w:rPr>
            </w:pPr>
            <w:r>
              <w:rPr>
                <w:rFonts w:ascii="Times New Roman" w:hAnsi="Times New Roman"/>
                <w:sz w:val="24"/>
                <w:szCs w:val="24"/>
              </w:rPr>
              <w:t>100</w:t>
            </w: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Pr="00411BD2" w:rsidRDefault="0036626E"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sectPr w:rsidR="00411BD2" w:rsidRPr="00411BD2"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A7" w:rsidRDefault="00D814A7" w:rsidP="008B36F3">
      <w:pPr>
        <w:spacing w:after="0" w:line="240" w:lineRule="auto"/>
      </w:pPr>
      <w:r>
        <w:separator/>
      </w:r>
    </w:p>
  </w:endnote>
  <w:endnote w:type="continuationSeparator" w:id="0">
    <w:p w:rsidR="00D814A7" w:rsidRDefault="00D814A7"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A7" w:rsidRDefault="00D814A7" w:rsidP="008B36F3">
      <w:pPr>
        <w:spacing w:after="0" w:line="240" w:lineRule="auto"/>
      </w:pPr>
      <w:r>
        <w:separator/>
      </w:r>
    </w:p>
  </w:footnote>
  <w:footnote w:type="continuationSeparator" w:id="0">
    <w:p w:rsidR="00D814A7" w:rsidRDefault="00D814A7"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2019A"/>
    <w:rsid w:val="00042305"/>
    <w:rsid w:val="00057F6F"/>
    <w:rsid w:val="00065786"/>
    <w:rsid w:val="000A6A47"/>
    <w:rsid w:val="000B359F"/>
    <w:rsid w:val="000D4AD6"/>
    <w:rsid w:val="000E4C44"/>
    <w:rsid w:val="0010270F"/>
    <w:rsid w:val="00107CE3"/>
    <w:rsid w:val="00115BE0"/>
    <w:rsid w:val="00121255"/>
    <w:rsid w:val="00124691"/>
    <w:rsid w:val="001609E3"/>
    <w:rsid w:val="00165205"/>
    <w:rsid w:val="001A050E"/>
    <w:rsid w:val="001A530E"/>
    <w:rsid w:val="001B65B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63C7"/>
    <w:rsid w:val="002A628F"/>
    <w:rsid w:val="002C4E9B"/>
    <w:rsid w:val="002D019E"/>
    <w:rsid w:val="002E0778"/>
    <w:rsid w:val="002E0A60"/>
    <w:rsid w:val="00301F27"/>
    <w:rsid w:val="003050E4"/>
    <w:rsid w:val="00305CFF"/>
    <w:rsid w:val="00315C71"/>
    <w:rsid w:val="0032383D"/>
    <w:rsid w:val="003314E7"/>
    <w:rsid w:val="00334397"/>
    <w:rsid w:val="0035398A"/>
    <w:rsid w:val="0036626E"/>
    <w:rsid w:val="003750CA"/>
    <w:rsid w:val="00375899"/>
    <w:rsid w:val="00383E9D"/>
    <w:rsid w:val="00387BB0"/>
    <w:rsid w:val="003949E4"/>
    <w:rsid w:val="003A5507"/>
    <w:rsid w:val="003D1B89"/>
    <w:rsid w:val="00411BD2"/>
    <w:rsid w:val="00433124"/>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5AB4"/>
    <w:rsid w:val="007262E2"/>
    <w:rsid w:val="00732C57"/>
    <w:rsid w:val="007469CB"/>
    <w:rsid w:val="00747351"/>
    <w:rsid w:val="0075106B"/>
    <w:rsid w:val="00755851"/>
    <w:rsid w:val="00762F3A"/>
    <w:rsid w:val="007701FC"/>
    <w:rsid w:val="00774852"/>
    <w:rsid w:val="00777F46"/>
    <w:rsid w:val="007A2F0D"/>
    <w:rsid w:val="007B0048"/>
    <w:rsid w:val="007C142C"/>
    <w:rsid w:val="007C258B"/>
    <w:rsid w:val="007D1BD6"/>
    <w:rsid w:val="007D58DD"/>
    <w:rsid w:val="008028EA"/>
    <w:rsid w:val="00840228"/>
    <w:rsid w:val="00851DF1"/>
    <w:rsid w:val="00860FEF"/>
    <w:rsid w:val="0086268A"/>
    <w:rsid w:val="00870C23"/>
    <w:rsid w:val="00883D1B"/>
    <w:rsid w:val="00891213"/>
    <w:rsid w:val="00891E7D"/>
    <w:rsid w:val="008B36F3"/>
    <w:rsid w:val="008E1B50"/>
    <w:rsid w:val="008F5D49"/>
    <w:rsid w:val="009013F3"/>
    <w:rsid w:val="009611C0"/>
    <w:rsid w:val="00977D2B"/>
    <w:rsid w:val="0098452C"/>
    <w:rsid w:val="009858FB"/>
    <w:rsid w:val="009944F3"/>
    <w:rsid w:val="009A0945"/>
    <w:rsid w:val="009A4DAA"/>
    <w:rsid w:val="009A6A2F"/>
    <w:rsid w:val="009C2E69"/>
    <w:rsid w:val="009D732E"/>
    <w:rsid w:val="009E6FF2"/>
    <w:rsid w:val="00A04FE3"/>
    <w:rsid w:val="00A050EE"/>
    <w:rsid w:val="00A24A7B"/>
    <w:rsid w:val="00A33C7C"/>
    <w:rsid w:val="00A33FB1"/>
    <w:rsid w:val="00A552D8"/>
    <w:rsid w:val="00A57042"/>
    <w:rsid w:val="00A6450D"/>
    <w:rsid w:val="00A677A1"/>
    <w:rsid w:val="00A87328"/>
    <w:rsid w:val="00A9635F"/>
    <w:rsid w:val="00AA0A6D"/>
    <w:rsid w:val="00AA5BDD"/>
    <w:rsid w:val="00AC78C2"/>
    <w:rsid w:val="00B01219"/>
    <w:rsid w:val="00B0607D"/>
    <w:rsid w:val="00B44024"/>
    <w:rsid w:val="00B77AC9"/>
    <w:rsid w:val="00B85BDA"/>
    <w:rsid w:val="00BA3DFD"/>
    <w:rsid w:val="00BA51EC"/>
    <w:rsid w:val="00BC0D1C"/>
    <w:rsid w:val="00BC0D75"/>
    <w:rsid w:val="00BD06E0"/>
    <w:rsid w:val="00BD2C0A"/>
    <w:rsid w:val="00BF2695"/>
    <w:rsid w:val="00C01548"/>
    <w:rsid w:val="00C62821"/>
    <w:rsid w:val="00CB39DB"/>
    <w:rsid w:val="00CD5FFB"/>
    <w:rsid w:val="00D00CDF"/>
    <w:rsid w:val="00D102AA"/>
    <w:rsid w:val="00D21D1B"/>
    <w:rsid w:val="00D23C1E"/>
    <w:rsid w:val="00D40E01"/>
    <w:rsid w:val="00D708FE"/>
    <w:rsid w:val="00D814A7"/>
    <w:rsid w:val="00D84BFA"/>
    <w:rsid w:val="00D87617"/>
    <w:rsid w:val="00D96F72"/>
    <w:rsid w:val="00DA094A"/>
    <w:rsid w:val="00DC00C2"/>
    <w:rsid w:val="00DC7BAD"/>
    <w:rsid w:val="00DD4100"/>
    <w:rsid w:val="00DE097C"/>
    <w:rsid w:val="00DE0B5A"/>
    <w:rsid w:val="00E1289A"/>
    <w:rsid w:val="00E1618D"/>
    <w:rsid w:val="00E20BB1"/>
    <w:rsid w:val="00E43CA7"/>
    <w:rsid w:val="00E80E1B"/>
    <w:rsid w:val="00E81B3D"/>
    <w:rsid w:val="00E86F86"/>
    <w:rsid w:val="00EA592B"/>
    <w:rsid w:val="00F27D6A"/>
    <w:rsid w:val="00F6116F"/>
    <w:rsid w:val="00F66381"/>
    <w:rsid w:val="00F938A9"/>
    <w:rsid w:val="00F96C5C"/>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4301"/>
  <w15:docId w15:val="{2FB786BE-6951-4024-915E-38BD1093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06FB-C008-4516-A02F-529E1F29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11107</Words>
  <Characters>63311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пк</cp:lastModifiedBy>
  <cp:revision>5</cp:revision>
  <cp:lastPrinted>2018-12-19T09:11:00Z</cp:lastPrinted>
  <dcterms:created xsi:type="dcterms:W3CDTF">2019-02-11T05:13:00Z</dcterms:created>
  <dcterms:modified xsi:type="dcterms:W3CDTF">2019-02-12T11:55:00Z</dcterms:modified>
</cp:coreProperties>
</file>